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F65" w:rsidRPr="006B7F65" w:rsidRDefault="006B7F65" w:rsidP="006B7F65">
      <w:pPr>
        <w:spacing w:before="120" w:after="120" w:line="240" w:lineRule="auto"/>
        <w:rPr>
          <w:rFonts w:ascii="Arial Narrow" w:eastAsia="Times New Roman" w:hAnsi="Arial Narrow" w:cs="Times New Roman"/>
          <w:color w:val="000000"/>
          <w:sz w:val="27"/>
          <w:szCs w:val="27"/>
          <w:lang w:val="fr-FR"/>
        </w:rPr>
      </w:pPr>
      <w:r w:rsidRPr="006B7F65">
        <w:rPr>
          <w:rFonts w:ascii="Arial Narrow" w:eastAsia="Times New Roman" w:hAnsi="Arial Narrow" w:cs="Times New Roman"/>
          <w:b/>
          <w:bCs/>
          <w:color w:val="000000"/>
          <w:lang w:val="fr-FR"/>
        </w:rPr>
        <w:t>Tableau des bureaux de l’Administration des Douanes et Impôts Indirects avec indications de leurs</w:t>
      </w:r>
    </w:p>
    <w:p w:rsidR="006B7F65" w:rsidRPr="006B7F65" w:rsidRDefault="006B7F65" w:rsidP="006B7F65">
      <w:pPr>
        <w:spacing w:before="120" w:after="120" w:line="240" w:lineRule="auto"/>
        <w:rPr>
          <w:rFonts w:ascii="Arial Narrow" w:eastAsia="Times New Roman" w:hAnsi="Arial Narrow" w:cs="Times New Roman"/>
          <w:color w:val="000000"/>
          <w:sz w:val="27"/>
          <w:szCs w:val="27"/>
          <w:lang w:val="fr-FR"/>
        </w:rPr>
      </w:pPr>
      <w:proofErr w:type="gramStart"/>
      <w:r w:rsidRPr="006B7F65">
        <w:rPr>
          <w:rFonts w:ascii="Arial Narrow" w:eastAsia="Times New Roman" w:hAnsi="Arial Narrow" w:cs="Times New Roman"/>
          <w:b/>
          <w:bCs/>
          <w:color w:val="000000"/>
          <w:lang w:val="fr-FR"/>
        </w:rPr>
        <w:t>compétences</w:t>
      </w:r>
      <w:proofErr w:type="gramEnd"/>
      <w:r w:rsidRPr="006B7F65">
        <w:rPr>
          <w:rFonts w:ascii="Arial Narrow" w:eastAsia="Times New Roman" w:hAnsi="Arial Narrow" w:cs="Times New Roman"/>
          <w:b/>
          <w:bCs/>
          <w:color w:val="000000"/>
          <w:lang w:val="fr-FR"/>
        </w:rPr>
        <w:t> et les spécialisations propres à certains de ces bureaux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0"/>
        <w:gridCol w:w="3650"/>
      </w:tblGrid>
      <w:tr w:rsidR="006B7F65" w:rsidRPr="006B7F65" w:rsidTr="006B7F65">
        <w:trPr>
          <w:tblCellSpacing w:w="0" w:type="dxa"/>
        </w:trPr>
        <w:tc>
          <w:tcPr>
            <w:tcW w:w="6786" w:type="dxa"/>
            <w:tcBorders>
              <w:top w:val="outset" w:sz="8" w:space="0" w:color="auto"/>
              <w:left w:val="single" w:sz="8" w:space="0" w:color="224488"/>
              <w:bottom w:val="single" w:sz="8" w:space="0" w:color="224488"/>
              <w:right w:val="single" w:sz="8" w:space="0" w:color="224488"/>
            </w:tcBorders>
            <w:shd w:val="clear" w:color="auto" w:fill="99CC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Catégories</w:t>
            </w:r>
            <w:proofErr w:type="spellEnd"/>
          </w:p>
        </w:tc>
        <w:tc>
          <w:tcPr>
            <w:tcW w:w="4820" w:type="dxa"/>
            <w:tcBorders>
              <w:top w:val="outset" w:sz="8" w:space="0" w:color="auto"/>
              <w:left w:val="single" w:sz="8" w:space="0" w:color="224488"/>
              <w:bottom w:val="single" w:sz="8" w:space="0" w:color="224488"/>
              <w:right w:val="single" w:sz="8" w:space="0" w:color="224488"/>
            </w:tcBorders>
            <w:shd w:val="clear" w:color="auto" w:fill="99CC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Observations</w:t>
            </w:r>
          </w:p>
        </w:tc>
      </w:tr>
      <w:tr w:rsidR="006B7F65" w:rsidRPr="006B7F65" w:rsidTr="006B7F65">
        <w:trPr>
          <w:trHeight w:val="2550"/>
          <w:tblCellSpacing w:w="0" w:type="dxa"/>
        </w:trPr>
        <w:tc>
          <w:tcPr>
            <w:tcW w:w="6786" w:type="dxa"/>
            <w:tcBorders>
              <w:top w:val="single" w:sz="8" w:space="0" w:color="224488"/>
              <w:left w:val="single" w:sz="8" w:space="0" w:color="224488"/>
              <w:bottom w:val="single" w:sz="8" w:space="0" w:color="224488"/>
              <w:right w:val="single" w:sz="8" w:space="0" w:color="2244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val="fr-FR"/>
              </w:rPr>
              <w:t>I. - Bureaux de plein exercice douane et impôts indirects (taxes intérieures de consommation et garantie) :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val="fr-FR"/>
              </w:rPr>
              <w:t> 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 Rabat 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 Essaouira 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Oujda-ville 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Agadir-ville 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Marrakech-ville 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Tanger-ville 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Casablanca-Extérieur.</w:t>
            </w:r>
          </w:p>
        </w:tc>
        <w:tc>
          <w:tcPr>
            <w:tcW w:w="4820" w:type="dxa"/>
            <w:tcBorders>
              <w:top w:val="single" w:sz="8" w:space="0" w:color="224488"/>
              <w:left w:val="single" w:sz="8" w:space="0" w:color="224488"/>
              <w:bottom w:val="single" w:sz="8" w:space="0" w:color="224488"/>
              <w:right w:val="single" w:sz="8" w:space="0" w:color="2244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 </w:t>
            </w:r>
          </w:p>
        </w:tc>
      </w:tr>
      <w:tr w:rsidR="006B7F65" w:rsidRPr="006B7F65" w:rsidTr="006B7F65">
        <w:trPr>
          <w:trHeight w:val="4663"/>
          <w:tblCellSpacing w:w="0" w:type="dxa"/>
        </w:trPr>
        <w:tc>
          <w:tcPr>
            <w:tcW w:w="6786" w:type="dxa"/>
            <w:tcBorders>
              <w:top w:val="single" w:sz="8" w:space="0" w:color="224488"/>
              <w:left w:val="single" w:sz="8" w:space="0" w:color="224488"/>
              <w:bottom w:val="single" w:sz="8" w:space="0" w:color="224488"/>
              <w:right w:val="single" w:sz="8" w:space="0" w:color="2244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val="fr-FR"/>
              </w:rPr>
              <w:t>II. - Bureaux de plein exercice douane et à compétence limitée en matière d'impôts indirects </w:t>
            </w: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vertAlign w:val="superscript"/>
                <w:lang w:val="fr-FR"/>
              </w:rPr>
              <w:t>(1)</w:t>
            </w: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val="fr-FR"/>
              </w:rPr>
              <w:t> :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Casablanca-magasins et aires de dédouanement  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 </w:t>
            </w:r>
            <w:proofErr w:type="spellStart"/>
            <w:proofErr w:type="gramStart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Meknès</w:t>
            </w:r>
            <w:proofErr w:type="spellEnd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;</w:t>
            </w:r>
            <w:proofErr w:type="gramEnd"/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Mohammedia</w:t>
            </w:r>
            <w:proofErr w:type="spellEnd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 </w:t>
            </w:r>
            <w:proofErr w:type="spellStart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Jorf-</w:t>
            </w:r>
            <w:proofErr w:type="gramStart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Lasfar</w:t>
            </w:r>
            <w:proofErr w:type="spellEnd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;</w:t>
            </w:r>
            <w:proofErr w:type="gramEnd"/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 </w:t>
            </w:r>
            <w:proofErr w:type="spellStart"/>
            <w:proofErr w:type="gramStart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Kénitra</w:t>
            </w:r>
            <w:proofErr w:type="spellEnd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;</w:t>
            </w:r>
            <w:proofErr w:type="gramEnd"/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 Tétouan 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-Safi 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Ahfir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 Taza 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 Settat 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Béni-Mellal 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Tan-Tan 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 Ouarzazate 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 Tarfaya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Laâyoune 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Ed-Dakhla 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 Larache 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Nador</w:t>
            </w:r>
            <w:proofErr w:type="spellEnd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8" w:space="0" w:color="224488"/>
              <w:left w:val="single" w:sz="8" w:space="0" w:color="224488"/>
              <w:bottom w:val="single" w:sz="8" w:space="0" w:color="224488"/>
              <w:right w:val="single" w:sz="8" w:space="0" w:color="2244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vertAlign w:val="superscript"/>
                <w:lang w:val="fr-FR"/>
              </w:rPr>
              <w:t>(1)</w:t>
            </w: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 Bureaux non ouverts aux opérations de garantie des matières de platine, d'or et d'argent.</w:t>
            </w:r>
          </w:p>
        </w:tc>
      </w:tr>
      <w:tr w:rsidR="006B7F65" w:rsidRPr="006B7F65" w:rsidTr="006B7F65">
        <w:trPr>
          <w:trHeight w:val="2426"/>
          <w:tblCellSpacing w:w="0" w:type="dxa"/>
        </w:trPr>
        <w:tc>
          <w:tcPr>
            <w:tcW w:w="6786" w:type="dxa"/>
            <w:tcBorders>
              <w:top w:val="single" w:sz="8" w:space="0" w:color="224488"/>
              <w:left w:val="single" w:sz="8" w:space="0" w:color="224488"/>
              <w:bottom w:val="single" w:sz="8" w:space="0" w:color="224488"/>
              <w:right w:val="single" w:sz="8" w:space="0" w:color="2244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val="fr-FR"/>
              </w:rPr>
              <w:lastRenderedPageBreak/>
              <w:t>III. - Bureaux de plein exercice douane :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Casablanca-port 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Casablanca-colis-postaux et paquets-poste 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Nouasser 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Rabat-Salé aéroport 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Tanger-Méditerranée 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Tanger-Ibn Batouta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Nador-Port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Zouj-Beghal ;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 </w:t>
            </w:r>
            <w:proofErr w:type="spellStart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Fès-ville</w:t>
            </w:r>
            <w:proofErr w:type="spellEnd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8" w:space="0" w:color="224488"/>
              <w:left w:val="single" w:sz="8" w:space="0" w:color="224488"/>
              <w:bottom w:val="single" w:sz="8" w:space="0" w:color="224488"/>
              <w:right w:val="single" w:sz="8" w:space="0" w:color="2244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6B7F65" w:rsidRPr="006B7F65" w:rsidTr="006B7F65">
        <w:trPr>
          <w:trHeight w:val="1125"/>
          <w:tblCellSpacing w:w="0" w:type="dxa"/>
        </w:trPr>
        <w:tc>
          <w:tcPr>
            <w:tcW w:w="6786" w:type="dxa"/>
            <w:tcBorders>
              <w:top w:val="single" w:sz="8" w:space="0" w:color="224488"/>
              <w:left w:val="single" w:sz="8" w:space="0" w:color="224488"/>
              <w:bottom w:val="single" w:sz="8" w:space="0" w:color="224488"/>
              <w:right w:val="single" w:sz="8" w:space="0" w:color="2244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val="fr-FR"/>
              </w:rPr>
              <w:t>IV. - Bureau de plein exercice impôts indirects (taxes intérieures de consommation et garantie) :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val="fr-FR"/>
              </w:rPr>
              <w:t> 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- Fès-garantie et impôts indirects.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val="fr-FR"/>
              </w:rPr>
              <w:t> </w:t>
            </w:r>
          </w:p>
        </w:tc>
        <w:tc>
          <w:tcPr>
            <w:tcW w:w="4820" w:type="dxa"/>
            <w:tcBorders>
              <w:top w:val="single" w:sz="8" w:space="0" w:color="224488"/>
              <w:left w:val="single" w:sz="8" w:space="0" w:color="224488"/>
              <w:bottom w:val="single" w:sz="8" w:space="0" w:color="224488"/>
              <w:right w:val="single" w:sz="8" w:space="0" w:color="2244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 </w:t>
            </w:r>
          </w:p>
        </w:tc>
      </w:tr>
      <w:tr w:rsidR="006B7F65" w:rsidRPr="006B7F65" w:rsidTr="006B7F65">
        <w:trPr>
          <w:trHeight w:val="1530"/>
          <w:tblCellSpacing w:w="0" w:type="dxa"/>
        </w:trPr>
        <w:tc>
          <w:tcPr>
            <w:tcW w:w="6786" w:type="dxa"/>
            <w:tcBorders>
              <w:top w:val="single" w:sz="8" w:space="0" w:color="224488"/>
              <w:left w:val="single" w:sz="8" w:space="0" w:color="224488"/>
              <w:bottom w:val="single" w:sz="8" w:space="0" w:color="224488"/>
              <w:right w:val="single" w:sz="8" w:space="0" w:color="2244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val="fr-FR"/>
              </w:rPr>
              <w:t>V. - Bureau à compétence limitée en matière de douane et impôts indirects :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Al </w:t>
            </w:r>
            <w:proofErr w:type="spellStart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Hoceïma</w:t>
            </w:r>
            <w:proofErr w:type="spellEnd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vertAlign w:val="superscript"/>
              </w:rPr>
              <w:t>(1) (2</w:t>
            </w:r>
            <w:proofErr w:type="gramStart"/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vertAlign w:val="superscript"/>
              </w:rPr>
              <w:t>)</w:t>
            </w: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;</w:t>
            </w:r>
            <w:proofErr w:type="gramEnd"/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Figuig</w:t>
            </w:r>
            <w:proofErr w:type="spellEnd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vertAlign w:val="superscript"/>
              </w:rPr>
              <w:t>(1) (2)</w:t>
            </w: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8" w:space="0" w:color="224488"/>
              <w:left w:val="single" w:sz="8" w:space="0" w:color="224488"/>
              <w:bottom w:val="single" w:sz="8" w:space="0" w:color="224488"/>
              <w:right w:val="single" w:sz="8" w:space="0" w:color="2244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vertAlign w:val="superscript"/>
                <w:lang w:val="fr-FR"/>
              </w:rPr>
              <w:t>(2)</w:t>
            </w: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  <w:lang w:val="fr-FR"/>
              </w:rPr>
              <w:t> Bureaux non ouverts aux régimes de l'admission temporaire pour perfectionnement actif, de l'exportation temporaire pour perfectionnement passif et de l'entrepôt industriel franc.</w:t>
            </w:r>
          </w:p>
        </w:tc>
      </w:tr>
      <w:tr w:rsidR="006B7F65" w:rsidRPr="006B7F65" w:rsidTr="006B7F65">
        <w:trPr>
          <w:trHeight w:val="1095"/>
          <w:tblCellSpacing w:w="0" w:type="dxa"/>
        </w:trPr>
        <w:tc>
          <w:tcPr>
            <w:tcW w:w="6786" w:type="dxa"/>
            <w:tcBorders>
              <w:top w:val="single" w:sz="8" w:space="0" w:color="224488"/>
              <w:left w:val="single" w:sz="8" w:space="0" w:color="224488"/>
              <w:bottom w:val="single" w:sz="8" w:space="0" w:color="224488"/>
              <w:right w:val="single" w:sz="8" w:space="0" w:color="2244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val="fr-FR"/>
              </w:rPr>
              <w:t>VI. - Bureau à compétence limitée au contrôle des voyageurs mais pouvant être exceptionnellement ouverts à certaines opérations commerciales :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6B7F65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val="fr-FR"/>
              </w:rPr>
              <w:t> </w:t>
            </w:r>
          </w:p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 Bab-</w:t>
            </w:r>
            <w:proofErr w:type="spellStart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Sebta</w:t>
            </w:r>
            <w:proofErr w:type="spellEnd"/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8" w:space="0" w:color="224488"/>
              <w:left w:val="single" w:sz="8" w:space="0" w:color="224488"/>
              <w:bottom w:val="single" w:sz="8" w:space="0" w:color="224488"/>
              <w:right w:val="single" w:sz="8" w:space="0" w:color="22448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7F65" w:rsidRPr="006B7F65" w:rsidRDefault="006B7F65" w:rsidP="006B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7F6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6B7F65" w:rsidRPr="006B7F65" w:rsidRDefault="006B7F65" w:rsidP="006B7F65">
      <w:pPr>
        <w:spacing w:before="120" w:after="0" w:line="240" w:lineRule="auto"/>
        <w:jc w:val="center"/>
        <w:rPr>
          <w:rFonts w:ascii="Arial Narrow" w:eastAsia="Times New Roman" w:hAnsi="Arial Narrow" w:cs="Times New Roman"/>
          <w:color w:val="000000"/>
          <w:sz w:val="27"/>
          <w:szCs w:val="27"/>
        </w:rPr>
      </w:pPr>
      <w:r w:rsidRPr="006B7F65">
        <w:rPr>
          <w:rFonts w:ascii="Arial Narrow" w:eastAsia="Times New Roman" w:hAnsi="Arial Narrow" w:cs="Times New Roman"/>
          <w:color w:val="000000"/>
          <w:sz w:val="27"/>
          <w:szCs w:val="27"/>
        </w:rPr>
        <w:t> </w:t>
      </w:r>
    </w:p>
    <w:p w:rsidR="00994D54" w:rsidRDefault="00994D54">
      <w:bookmarkStart w:id="0" w:name="_GoBack"/>
      <w:bookmarkEnd w:id="0"/>
    </w:p>
    <w:sectPr w:rsidR="00994D5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F65"/>
    <w:rsid w:val="006B7F65"/>
    <w:rsid w:val="0099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B7645-0455-4CC9-BA07-E78BE075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6B7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B7F65"/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DefaultParagraphFont"/>
    <w:rsid w:val="006B7F65"/>
  </w:style>
  <w:style w:type="character" w:customStyle="1" w:styleId="apple-converted-space">
    <w:name w:val="apple-converted-space"/>
    <w:basedOn w:val="DefaultParagraphFont"/>
    <w:rsid w:val="006B7F65"/>
  </w:style>
  <w:style w:type="character" w:customStyle="1" w:styleId="spelle">
    <w:name w:val="spelle"/>
    <w:basedOn w:val="DefaultParagraphFont"/>
    <w:rsid w:val="006B7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5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Khaddouj Benkhadra</dc:creator>
  <cp:keywords/>
  <dc:description/>
  <cp:lastModifiedBy>Khaddouj Benkhadra</cp:lastModifiedBy>
  <cp:revision>1</cp:revision>
  <dcterms:created xsi:type="dcterms:W3CDTF">2016-06-20T14:07:00Z</dcterms:created>
  <dcterms:modified xsi:type="dcterms:W3CDTF">2016-06-20T14:08:00Z</dcterms:modified>
</cp:coreProperties>
</file>